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23847" w14:textId="4810FDD0" w:rsidR="00FB55E7" w:rsidRDefault="00FB55E7" w:rsidP="00FB55E7">
      <w:pPr>
        <w:pStyle w:val="HEAD"/>
      </w:pPr>
      <w:r>
        <w:t xml:space="preserve">Procedural unit codebook figures. </w:t>
      </w:r>
    </w:p>
    <w:p w14:paraId="4EE5E423" w14:textId="25211319" w:rsidR="00FB55E7" w:rsidRPr="00FB55E7" w:rsidRDefault="00FB55E7" w:rsidP="00FB55E7">
      <w:pPr>
        <w:pStyle w:val="Paragraph"/>
        <w:ind w:firstLine="0"/>
        <w:rPr>
          <w:lang w:eastAsia="zh-CN" w:bidi="hi-IN"/>
        </w:rPr>
      </w:pPr>
      <w:r>
        <w:rPr>
          <w:lang w:eastAsia="zh-CN" w:bidi="hi-IN"/>
        </w:rPr>
        <w:t xml:space="preserve">(V.1.0) Git commit </w:t>
      </w:r>
      <w:r>
        <w:t>[b890114] 2020-09-21</w:t>
      </w:r>
    </w:p>
    <w:p w14:paraId="3C85CDC4" w14:textId="77777777" w:rsidR="00FB55E7" w:rsidRDefault="00FB55E7" w:rsidP="00FB55E7"/>
    <w:p w14:paraId="7433A71A" w14:textId="77777777" w:rsidR="00FB55E7" w:rsidRDefault="00FB55E7" w:rsidP="00FB55E7">
      <w:pPr>
        <w:pStyle w:val="Paragraph"/>
        <w:ind w:firstLine="0"/>
        <w:rPr>
          <w:lang w:val="de-DE" w:eastAsia="zh-CN" w:bidi="hi-IN"/>
        </w:rPr>
      </w:pPr>
      <w:r>
        <w:rPr>
          <w:noProof/>
        </w:rPr>
        <w:drawing>
          <wp:inline distT="0" distB="0" distL="0" distR="0" wp14:anchorId="2B5AD4A6" wp14:editId="569C9E60">
            <wp:extent cx="2908935" cy="3339070"/>
            <wp:effectExtent l="0" t="0" r="12065" b="0"/>
            <wp:docPr id="24" name="Picture 24" descr="../../../../Desktop/Shea%202008%20JHE%20levallois%20points%20and%20facetted%20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hea%202008%20JHE%20levallois%20points%20and%20facetted%20pla"/>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16252" cy="3347469"/>
                    </a:xfrm>
                    <a:prstGeom prst="rect">
                      <a:avLst/>
                    </a:prstGeom>
                    <a:noFill/>
                    <a:ln>
                      <a:noFill/>
                    </a:ln>
                  </pic:spPr>
                </pic:pic>
              </a:graphicData>
            </a:graphic>
          </wp:inline>
        </w:drawing>
      </w:r>
    </w:p>
    <w:p w14:paraId="7C9E748C" w14:textId="77777777" w:rsidR="00FB55E7" w:rsidRDefault="00FB55E7" w:rsidP="00FB55E7">
      <w:pPr>
        <w:pStyle w:val="Paragraph"/>
        <w:ind w:firstLine="0"/>
        <w:rPr>
          <w:lang w:val="de-DE" w:eastAsia="zh-CN" w:bidi="hi-IN"/>
        </w:rPr>
      </w:pPr>
      <w:r>
        <w:rPr>
          <w:lang w:val="de-DE" w:eastAsia="zh-CN" w:bidi="hi-IN"/>
        </w:rPr>
        <w:t xml:space="preserve">Figure 1. Figure 23 illustrating levallois point variation from Kibish formation </w:t>
      </w:r>
      <w:r>
        <w:rPr>
          <w:lang w:val="de-DE" w:eastAsia="zh-CN" w:bidi="hi-IN"/>
        </w:rPr>
        <w:fldChar w:fldCharType="begin"/>
      </w:r>
      <w:r>
        <w:rPr>
          <w:lang w:val="de-DE" w:eastAsia="zh-CN" w:bidi="hi-IN"/>
        </w:rPr>
        <w:instrText xml:space="preserve"> ADDIN ZOTERO_ITEM CSL_CITATION {"citationID":"qzvTrqMy","properties":{"formattedCitation":"(Shea, 2008)","plainCitation":"(Shea, 2008)","noteIndex":0},"citationItems":[{"id":2338,"uris":["http://zotero.org/users/2575107/items/3GZ2UDZI"],"uri":["http://zotero.org/users/2575107/items/3GZ2UDZI"],"itemData":{"id":2338,"type":"article-journal","abstract":"This paper describes the excavation, stratigraphy, and lithic assemblages of Middle Stone Age sites from the Omo Kibish Formation (Lower Omo Valley, southwestern Ethiopia). Three sites were excavated, two in Kibish Member I (KHS and AHS) and one at the base of Member III (BNS). The assemblages are dominated by relatively high-quality raw materials procured as pebbles from local gravels. The principal modes of core preparation are radial/centripetal Levallois and discoidal. Retouched tools are rare. Foliate bifaces are present, as are larger tools, such as handaxes, picks, and lanceolates, but these are more common among surface ﬁnds than among excavated assemblages. Middle Stone Age assemblages shed light on the adaptations of the earliest-known Homo sapiens populations in Africa.","container-title":"Journal of Human Evolution","DOI":"10.1016/j.jhevol.2008.05.014","ISSN":"00472484","issue":"3","journalAbbreviation":"Journal of Human Evolution","language":"en","page":"448-485","source":"DOI.org (Crossref)","title":"The Middle Stone Age archaeology of the Lower Omo Valley Kibish Formation: Excavations, lithic assemblages, and inferred patterns of early Homo sapiens behavior","title-short":"The Middle Stone Age archaeology of the Lower Omo Valley Kibish Formation","volume":"55","author":[{"family":"Shea","given":"John J."}],"issued":{"date-parts":[["2008",9]]}}}],"schema":"https://github.com/citation-style-language/schema/raw/master/csl-citation.json"} </w:instrText>
      </w:r>
      <w:r>
        <w:rPr>
          <w:lang w:val="de-DE" w:eastAsia="zh-CN" w:bidi="hi-IN"/>
        </w:rPr>
        <w:fldChar w:fldCharType="separate"/>
      </w:r>
      <w:r w:rsidRPr="009A7416">
        <w:rPr>
          <w:rFonts w:ascii="Calibri" w:hAnsi="Calibri" w:cs="Calibri"/>
        </w:rPr>
        <w:t>(Shea, 2008)</w:t>
      </w:r>
      <w:r>
        <w:rPr>
          <w:lang w:val="de-DE" w:eastAsia="zh-CN" w:bidi="hi-IN"/>
        </w:rPr>
        <w:fldChar w:fldCharType="end"/>
      </w:r>
      <w:r>
        <w:rPr>
          <w:lang w:val="de-DE" w:eastAsia="zh-CN" w:bidi="hi-IN"/>
        </w:rPr>
        <w:t xml:space="preserve">. </w:t>
      </w:r>
    </w:p>
    <w:p w14:paraId="65EA1279" w14:textId="77777777" w:rsidR="00FB55E7" w:rsidRDefault="00FB55E7" w:rsidP="00FB55E7">
      <w:pPr>
        <w:pStyle w:val="Paragraph"/>
        <w:ind w:firstLine="0"/>
        <w:rPr>
          <w:lang w:val="de-DE" w:eastAsia="zh-CN" w:bidi="hi-IN"/>
        </w:rPr>
      </w:pPr>
      <w:r>
        <w:rPr>
          <w:noProof/>
        </w:rPr>
        <w:lastRenderedPageBreak/>
        <w:drawing>
          <wp:inline distT="0" distB="0" distL="0" distR="0" wp14:anchorId="517499F2" wp14:editId="0142C74A">
            <wp:extent cx="3594735" cy="4537137"/>
            <wp:effectExtent l="0" t="0" r="12065" b="9525"/>
            <wp:docPr id="25" name="Picture 25" descr="../../../../Desktop/Picin%20et%20al.%202016.%20Flake%20productivity%20in%20recurrent%20centripetal%20an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Picin%20et%20al.%202016.%20Flake%20productivity%20in%20recurrent%20centripetal%20and%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02261" cy="4546636"/>
                    </a:xfrm>
                    <a:prstGeom prst="rect">
                      <a:avLst/>
                    </a:prstGeom>
                    <a:noFill/>
                    <a:ln>
                      <a:noFill/>
                    </a:ln>
                  </pic:spPr>
                </pic:pic>
              </a:graphicData>
            </a:graphic>
          </wp:inline>
        </w:drawing>
      </w:r>
    </w:p>
    <w:p w14:paraId="5FD39049" w14:textId="77777777" w:rsidR="00FB55E7" w:rsidRDefault="00FB55E7" w:rsidP="00FB55E7">
      <w:pPr>
        <w:pStyle w:val="Paragraph"/>
        <w:ind w:firstLine="0"/>
        <w:rPr>
          <w:lang w:val="de-DE" w:eastAsia="zh-CN" w:bidi="hi-IN"/>
        </w:rPr>
      </w:pPr>
      <w:r>
        <w:rPr>
          <w:lang w:val="de-DE" w:eastAsia="zh-CN" w:bidi="hi-IN"/>
        </w:rPr>
        <w:t xml:space="preserve">Figure 2.  From figure 5 illustrating levallois flake and centripetal flake diversity </w:t>
      </w:r>
      <w:r>
        <w:rPr>
          <w:lang w:val="de-DE" w:eastAsia="zh-CN" w:bidi="hi-IN"/>
        </w:rPr>
        <w:fldChar w:fldCharType="begin"/>
      </w:r>
      <w:r>
        <w:rPr>
          <w:lang w:val="de-DE" w:eastAsia="zh-CN" w:bidi="hi-IN"/>
        </w:rPr>
        <w:instrText xml:space="preserve"> ADDIN ZOTERO_ITEM CSL_CITATION {"citationID":"qYDQS25t","properties":{"formattedCitation":"(Picin &amp; Vaquero, 2016)","plainCitation":"(Picin &amp; Vaquero, 2016)","noteIndex":0},"citationItems":[{"id":2012,"uris":["http://zotero.org/users/2575107/items/FWA9BALM"],"uri":["http://zotero.org/users/2575107/items/FWA9BALM"],"itemData":{"id":2012,"type":"article-journal","abstract":"During the Middle Paleolithic, hunter-gatherers were ﬂexible in their use of lithic technologies and sometimes applied one knapping strategy, exploited different methods simultaneously or combined them in ramiﬁed operative chains. The Levallois recurrent centripetal method and the bifacial discoid method were two of the ﬂaking strategies most frequently used by Neanderthals, but understanding of their changeover in the archaeological record is still discussed. This paper aims to add new data to the current debate investigating the aspects of productivity of the Levallois recurrent centripetal and bifacial discoid technologies with an experimental series and an archaeological lithic series. The results reveal that these two knapping strategies not only share similarities in blank morphologies but also could have similar values in ﬂake production. Productivity is strongly inﬂuenced by the knapper's goals and by the maintenance of low values of ﬂake thickness during the reduction sequence. Although the bifacial discoid is a more ﬂexible and simpler method, the exclusive use of the Levallois recurrent centripetal modality during the Middle Paleolithic might be related to the features of the Levallois products that were more advantageous during longer foraging movements.","container-title":"Journal of Archaeological Science: Reports","DOI":"10.1016/j.jasrep.2016.05.062","ISSN":"2352409X","journalAbbreviation":"Journal of Archaeological Science: Reports","language":"en","page":"70-81","source":"DOI.org (Crossref)","title":"Flake productivity in the Levallois recurrent centripetal and discoid technologies: New insights from experimental and archaeological lithic series","title-short":"Flake productivity in the Levallois recurrent centripetal and discoid technologies","volume":"8","author":[{"family":"Picin","given":"Andrea"},{"family":"Vaquero","given":"Manuel"}],"issued":{"date-parts":[["2016",8]]}}}],"schema":"https://github.com/citation-style-language/schema/raw/master/csl-citation.json"} </w:instrText>
      </w:r>
      <w:r>
        <w:rPr>
          <w:lang w:val="de-DE" w:eastAsia="zh-CN" w:bidi="hi-IN"/>
        </w:rPr>
        <w:fldChar w:fldCharType="separate"/>
      </w:r>
      <w:r w:rsidRPr="000217D5">
        <w:rPr>
          <w:rFonts w:ascii="Calibri" w:hAnsi="Calibri" w:cs="Calibri"/>
        </w:rPr>
        <w:t>(Picin &amp; Vaquero, 2016)</w:t>
      </w:r>
      <w:r>
        <w:rPr>
          <w:lang w:val="de-DE" w:eastAsia="zh-CN" w:bidi="hi-IN"/>
        </w:rPr>
        <w:fldChar w:fldCharType="end"/>
      </w:r>
      <w:r>
        <w:rPr>
          <w:lang w:val="de-DE" w:eastAsia="zh-CN" w:bidi="hi-IN"/>
        </w:rPr>
        <w:t xml:space="preserve">. </w:t>
      </w:r>
    </w:p>
    <w:p w14:paraId="525322AD" w14:textId="77777777" w:rsidR="00FB55E7" w:rsidRDefault="00FB55E7" w:rsidP="00FB55E7">
      <w:pPr>
        <w:pStyle w:val="Paragraph"/>
        <w:ind w:firstLine="0"/>
        <w:rPr>
          <w:lang w:val="de-DE" w:eastAsia="zh-CN" w:bidi="hi-IN"/>
        </w:rPr>
      </w:pPr>
      <w:r>
        <w:rPr>
          <w:noProof/>
        </w:rPr>
        <w:lastRenderedPageBreak/>
        <w:drawing>
          <wp:inline distT="0" distB="0" distL="0" distR="0" wp14:anchorId="79E40459" wp14:editId="3B87B974">
            <wp:extent cx="5930900" cy="4000500"/>
            <wp:effectExtent l="0" t="0" r="12700" b="12700"/>
            <wp:docPr id="2" name="Picture 2" descr="../../../../Desktop/Screen%20Shot%202019-01-29%20at%203.02.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29%20at%203.02.17%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0900" cy="4000500"/>
                    </a:xfrm>
                    <a:prstGeom prst="rect">
                      <a:avLst/>
                    </a:prstGeom>
                    <a:noFill/>
                    <a:ln>
                      <a:noFill/>
                    </a:ln>
                  </pic:spPr>
                </pic:pic>
              </a:graphicData>
            </a:graphic>
          </wp:inline>
        </w:drawing>
      </w:r>
    </w:p>
    <w:p w14:paraId="5A661EBD" w14:textId="77777777" w:rsidR="00FB55E7" w:rsidRDefault="00FB55E7" w:rsidP="00FB55E7">
      <w:pPr>
        <w:pStyle w:val="Paragraph"/>
        <w:ind w:firstLine="0"/>
        <w:rPr>
          <w:lang w:val="de-DE" w:eastAsia="zh-CN" w:bidi="hi-IN"/>
        </w:rPr>
      </w:pPr>
      <w:r>
        <w:rPr>
          <w:lang w:val="de-DE" w:eastAsia="zh-CN" w:bidi="hi-IN"/>
        </w:rPr>
        <w:t xml:space="preserve">Figure 3. Figure 2 illustrating schematic drawings of blade manufacture methods in Queensland </w:t>
      </w:r>
      <w:r>
        <w:rPr>
          <w:lang w:val="de-DE" w:eastAsia="zh-CN" w:bidi="hi-IN"/>
        </w:rPr>
        <w:fldChar w:fldCharType="begin"/>
      </w:r>
      <w:r>
        <w:rPr>
          <w:lang w:val="de-DE" w:eastAsia="zh-CN" w:bidi="hi-IN"/>
        </w:rPr>
        <w:instrText xml:space="preserve"> ADDIN ZOTERO_ITEM CSL_CITATION {"citationID":"TzIepWa7","properties":{"formattedCitation":"(Moore, 2003)","plainCitation":"(Moore, 2003)","noteIndex":0},"citationItems":[{"id":4162,"uris":["http://zotero.org/users/2575107/items/L3G579ZM"],"uri":["http://zotero.org/users/2575107/items/L3G579ZM"],"itemData":{"id":4162,"type":"article-journal","container-title":"Lithic Technology","DOI":"10.1080/01977261.2003.11721001","ISSN":"0197-7261, 2051-6185","issue":"1","journalAbbreviation":"Lithic Technology","language":"en","page":"35-63","source":"DOI.org (Crossref)","title":"Australian Aboriginal Blade Production Methods on the Georgina River, Camooweal, Queensland","volume":"28","author":[{"family":"Moore","given":"Mark W."}],"issued":{"date-parts":[["2003",3]]}}}],"schema":"https://github.com/citation-style-language/schema/raw/master/csl-citation.json"} </w:instrText>
      </w:r>
      <w:r>
        <w:rPr>
          <w:lang w:val="de-DE" w:eastAsia="zh-CN" w:bidi="hi-IN"/>
        </w:rPr>
        <w:fldChar w:fldCharType="separate"/>
      </w:r>
      <w:r w:rsidRPr="000217D5">
        <w:rPr>
          <w:rFonts w:ascii="Calibri" w:hAnsi="Calibri" w:cs="Calibri"/>
        </w:rPr>
        <w:t>(Moore, 2003)</w:t>
      </w:r>
      <w:r>
        <w:rPr>
          <w:lang w:val="de-DE" w:eastAsia="zh-CN" w:bidi="hi-IN"/>
        </w:rPr>
        <w:fldChar w:fldCharType="end"/>
      </w:r>
      <w:r>
        <w:rPr>
          <w:lang w:val="de-DE" w:eastAsia="zh-CN" w:bidi="hi-IN"/>
        </w:rPr>
        <w:t>.</w:t>
      </w:r>
    </w:p>
    <w:p w14:paraId="1AB614F9" w14:textId="77777777" w:rsidR="00FB55E7" w:rsidRDefault="00FB55E7" w:rsidP="00FB55E7">
      <w:pPr>
        <w:pStyle w:val="Paragraph"/>
        <w:ind w:firstLine="0"/>
        <w:rPr>
          <w:lang w:val="de-DE" w:eastAsia="zh-CN" w:bidi="hi-IN"/>
        </w:rPr>
      </w:pPr>
    </w:p>
    <w:p w14:paraId="564F65E7" w14:textId="77777777" w:rsidR="00FB55E7" w:rsidRDefault="00FB55E7" w:rsidP="00FB55E7">
      <w:pPr>
        <w:pStyle w:val="Paragraph"/>
        <w:ind w:firstLine="0"/>
        <w:rPr>
          <w:lang w:val="de-DE" w:eastAsia="zh-CN" w:bidi="hi-IN"/>
        </w:rPr>
      </w:pPr>
      <w:r>
        <w:rPr>
          <w:noProof/>
          <w:lang w:val="de-DE" w:eastAsia="zh-CN" w:bidi="hi-IN"/>
        </w:rPr>
        <w:drawing>
          <wp:inline distT="0" distB="0" distL="0" distR="0" wp14:anchorId="60E2648A" wp14:editId="6837F452">
            <wp:extent cx="2708275" cy="2826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8275" cy="2826385"/>
                    </a:xfrm>
                    <a:prstGeom prst="rect">
                      <a:avLst/>
                    </a:prstGeom>
                    <a:noFill/>
                    <a:ln>
                      <a:noFill/>
                    </a:ln>
                  </pic:spPr>
                </pic:pic>
              </a:graphicData>
            </a:graphic>
          </wp:inline>
        </w:drawing>
      </w:r>
    </w:p>
    <w:p w14:paraId="3F0539C4" w14:textId="77777777" w:rsidR="00FB55E7" w:rsidRDefault="00FB55E7" w:rsidP="00FB55E7">
      <w:pPr>
        <w:pStyle w:val="Paragraph"/>
        <w:ind w:firstLine="0"/>
        <w:rPr>
          <w:lang w:val="de-DE" w:eastAsia="zh-CN" w:bidi="hi-IN"/>
        </w:rPr>
      </w:pPr>
      <w:r>
        <w:rPr>
          <w:lang w:val="de-DE" w:eastAsia="zh-CN" w:bidi="hi-IN"/>
        </w:rPr>
        <w:t xml:space="preserve">Figure 4. Figure 4 on technological blade classifications at Rose Cottage Cave </w:t>
      </w:r>
      <w:r>
        <w:rPr>
          <w:lang w:val="de-DE" w:eastAsia="zh-CN" w:bidi="hi-IN"/>
        </w:rPr>
        <w:fldChar w:fldCharType="begin"/>
      </w:r>
      <w:r>
        <w:rPr>
          <w:lang w:val="de-DE" w:eastAsia="zh-CN" w:bidi="hi-IN"/>
        </w:rPr>
        <w:instrText xml:space="preserve"> ADDIN ZOTERO_ITEM CSL_CITATION {"citationID":"Gn5gCa0V","properties":{"formattedCitation":"(Soriano et al., 2007)","plainCitation":"(Soriano et al., 2007)","noteIndex":0},"citationItems":[{"id":2487,"uris":["http://zotero.org/users/2575107/items/8BYMADXM"],"uri":["http://zotero.org/users/2575107/items/8BYMADXM"],"itemData":{"id":2487,"type":"article-journal","abstract":"It has been suggested that between 80 and 35 ka the Middle Stone Age record of South Africa reveals episodes of inventiveness and innovation, punctuated by apparent returns to more conventional technologies. One such episode is the Howiesons Poort (HP). The appearance of a range of small geometric forms, apparently used as insets in multi-component tools, has been considered as evidence of improved hunting weapons, with possible social and symbolic connotations. On the basis of evidence such as backed tool production, small blade technology, the occurrence of typical end-scrapers and burins similar to those encountered in the European Upper Paleolithic, long-distance transport of ﬁne-grained raw materials, and non-lithic novelties, the HP is associated with increased levels of technological efﬁciency and with behavioral innovations that could have allowed the expansion of African populations to other regions. Yet our knowledge of HP technology and tool production is limited to the analysis of Klasies River Main site by Singer and Wymer and Sarah Wurz, and a few preliminary reports from other sites. This is why we present here a detailed technological and typological analysis of several HP and post-HP assemblages from the wellexcavated, well-dated and well-stratiﬁed site of Rose Cottage. Our analysis shows: (a) that the HP blade production was a real technical innovation, but was not based on indirect percussion, as often suggested; (b) that blade production was based on the use of marginal percussion which does not occur in the blade production of the Eurasian Middle Paleolithic; (c) that the tool kit was dominated by backed pieces, but not all can be considered as hunting weapons; (d) that neither end-scrapers nor burins are typical of this industry and are no more an antecedent to the European Upper Paleolithic than the end-scrapers and burins of the Middle Paleolithic; (e) that patterns of raw material procurement do not conform to models based on evidence from Klasies; (f) that diachronic changes within the Rose Cottage sequence indicate slow, gradual abandonment of the technological style of the HP; (g) that the post-HP assemblages are of MSA character and are typologically and technologically quite similar to the European Middle Paleolithic; (h) that the lack of persistence of the HP innovations is in need of an explanation. The HP is not a monolithic entity. Implications for the symbolic interpretations of the HP phenomenon are discussed.","container-title":"Journal of Archaeological Science","DOI":"10.1016/j.jas.2006.06.017","ISSN":"03054403","issue":"5","journalAbbreviation":"Journal of Archaeological Science","language":"en","page":"681-703","source":"DOI.org (Crossref)","title":"Blade technology and tool forms in the Middle Stone Age of South Africa: the Howiesons Poort and post-Howiesons Poort at Rose Cottage Cave","title-short":"Blade technology and tool forms in the Middle Stone Age of South Africa","volume":"34","author":[{"family":"Soriano","given":"Sylvain"},{"family":"Villa","given":"Paola"},{"family":"Wadley","given":"Lyn"}],"issued":{"date-parts":[["2007",5]]}}}],"schema":"https://github.com/citation-style-language/schema/raw/master/csl-citation.json"} </w:instrText>
      </w:r>
      <w:r>
        <w:rPr>
          <w:lang w:val="de-DE" w:eastAsia="zh-CN" w:bidi="hi-IN"/>
        </w:rPr>
        <w:fldChar w:fldCharType="separate"/>
      </w:r>
      <w:r w:rsidRPr="00065D27">
        <w:rPr>
          <w:rFonts w:ascii="Calibri" w:hAnsi="Calibri" w:cs="Calibri"/>
        </w:rPr>
        <w:t>(Soriano et al., 2007)</w:t>
      </w:r>
      <w:r>
        <w:rPr>
          <w:lang w:val="de-DE" w:eastAsia="zh-CN" w:bidi="hi-IN"/>
        </w:rPr>
        <w:fldChar w:fldCharType="end"/>
      </w:r>
      <w:r>
        <w:rPr>
          <w:lang w:val="de-DE" w:eastAsia="zh-CN" w:bidi="hi-IN"/>
        </w:rPr>
        <w:t>.</w:t>
      </w:r>
    </w:p>
    <w:p w14:paraId="4685EECB" w14:textId="77777777" w:rsidR="00FB55E7" w:rsidRDefault="00FB55E7" w:rsidP="00FB55E7">
      <w:r>
        <w:rPr>
          <w:noProof/>
        </w:rPr>
        <w:lastRenderedPageBreak/>
        <w:drawing>
          <wp:inline distT="0" distB="0" distL="0" distR="0" wp14:anchorId="45A4E719" wp14:editId="624286D7">
            <wp:extent cx="2654689" cy="3431540"/>
            <wp:effectExtent l="0" t="0" r="12700" b="0"/>
            <wp:docPr id="10" name="Picture 10" descr="../../../../Desktop/Screen%20Shot%202019-01-28%20at%2012.5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28%20at%2012.51.01%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4369" cy="3444053"/>
                    </a:xfrm>
                    <a:prstGeom prst="rect">
                      <a:avLst/>
                    </a:prstGeom>
                    <a:noFill/>
                    <a:ln>
                      <a:noFill/>
                    </a:ln>
                  </pic:spPr>
                </pic:pic>
              </a:graphicData>
            </a:graphic>
          </wp:inline>
        </w:drawing>
      </w:r>
    </w:p>
    <w:p w14:paraId="1B26AC61" w14:textId="77777777" w:rsidR="00FB55E7" w:rsidRDefault="00FB55E7" w:rsidP="00FB55E7">
      <w:pPr>
        <w:pStyle w:val="Paragraph"/>
        <w:ind w:firstLine="0"/>
      </w:pPr>
      <w:r>
        <w:t xml:space="preserve">Figure 5. Figure 1 in in description of Levallois technology </w:t>
      </w:r>
      <w:r>
        <w:fldChar w:fldCharType="begin"/>
      </w:r>
      <w:r>
        <w:instrText xml:space="preserve"> ADDIN ZOTERO_ITEM CSL_CITATION {"citationID":"3zpMGzy0","properties":{"formattedCitation":"(Bordes, 1980)","plainCitation":"(Bordes, 1980)","noteIndex":0},"citationItems":[{"id":4133,"uris":["http://zotero.org/users/2575107/items/LBM9LJAM"],"uri":["http://zotero.org/users/2575107/items/LBM9LJAM"],"itemData":{"id":4133,"type":"article-journal","container-title":"Bulletin de la Société préhistorique française","DOI":"10.3406/bspf.1980.5242","ISSN":"0249-7638","issue":"2","journalAbbreviation":"bspf","language":"fr","page":"45-49","source":"DOI.org (Crossref)","title":"Le débitage Levallois et ses variantes","volume":"77","author":[{"family":"Bordes","given":"François"}],"issued":{"date-parts":[["1980"]]}}}],"schema":"https://github.com/citation-style-language/schema/raw/master/csl-citation.json"} </w:instrText>
      </w:r>
      <w:r>
        <w:fldChar w:fldCharType="separate"/>
      </w:r>
      <w:r w:rsidRPr="00065D27">
        <w:rPr>
          <w:rFonts w:ascii="Calibri" w:hAnsi="Calibri" w:cs="Calibri"/>
          <w:sz w:val="21"/>
        </w:rPr>
        <w:t>(Bordes, 1980)</w:t>
      </w:r>
      <w:r>
        <w:fldChar w:fldCharType="end"/>
      </w:r>
      <w:r>
        <w:t>.</w:t>
      </w:r>
    </w:p>
    <w:p w14:paraId="35AFB56B" w14:textId="77777777" w:rsidR="00FB55E7" w:rsidRPr="008B6251" w:rsidRDefault="00FB55E7" w:rsidP="00FB55E7">
      <w:pPr>
        <w:pStyle w:val="Paragraph"/>
        <w:ind w:firstLine="0"/>
        <w:rPr>
          <w:lang w:eastAsia="zh-CN" w:bidi="hi-IN"/>
        </w:rPr>
      </w:pPr>
    </w:p>
    <w:p w14:paraId="30CF9BD8" w14:textId="77777777" w:rsidR="00FB55E7" w:rsidRDefault="00FB55E7" w:rsidP="00FB55E7">
      <w:r>
        <w:rPr>
          <w:noProof/>
        </w:rPr>
        <w:drawing>
          <wp:inline distT="0" distB="0" distL="0" distR="0" wp14:anchorId="2D3BE15D" wp14:editId="6D417EE7">
            <wp:extent cx="2645929" cy="3355717"/>
            <wp:effectExtent l="0" t="0" r="0" b="0"/>
            <wp:docPr id="13" name="Picture 13" descr="../../../../Desktop/Screen%20Shot%202019-01-28%20at%2012.5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28%20at%2012.52.56%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2606" cy="3376868"/>
                    </a:xfrm>
                    <a:prstGeom prst="rect">
                      <a:avLst/>
                    </a:prstGeom>
                    <a:noFill/>
                    <a:ln>
                      <a:noFill/>
                    </a:ln>
                  </pic:spPr>
                </pic:pic>
              </a:graphicData>
            </a:graphic>
          </wp:inline>
        </w:drawing>
      </w:r>
    </w:p>
    <w:p w14:paraId="279A7C5F" w14:textId="77777777" w:rsidR="00FB55E7" w:rsidRDefault="00FB55E7" w:rsidP="00FB55E7">
      <w:pPr>
        <w:pStyle w:val="Paragraph"/>
        <w:ind w:firstLine="0"/>
      </w:pPr>
      <w:r>
        <w:t xml:space="preserve">Figure 6. Figure 2 in description of Levallois technology </w:t>
      </w:r>
      <w:r>
        <w:fldChar w:fldCharType="begin"/>
      </w:r>
      <w:r>
        <w:instrText xml:space="preserve"> ADDIN ZOTERO_ITEM CSL_CITATION {"citationID":"1qSJwofB","properties":{"formattedCitation":"(Bordes, 1980)","plainCitation":"(Bordes, 1980)","noteIndex":0},"citationItems":[{"id":4133,"uris":["http://zotero.org/users/2575107/items/LBM9LJAM"],"uri":["http://zotero.org/users/2575107/items/LBM9LJAM"],"itemData":{"id":4133,"type":"article-journal","container-title":"Bulletin de la Société préhistorique française","DOI":"10.3406/bspf.1980.5242","ISSN":"0249-7638","issue":"2","journalAbbreviation":"bspf","language":"fr","page":"45-49","source":"DOI.org (Crossref)","title":"Le débitage Levallois et ses variantes","volume":"77","author":[{"family":"Bordes","given":"François"}],"issued":{"date-parts":[["1980"]]}}}],"schema":"https://github.com/citation-style-language/schema/raw/master/csl-citation.json"} </w:instrText>
      </w:r>
      <w:r>
        <w:fldChar w:fldCharType="separate"/>
      </w:r>
      <w:r w:rsidRPr="00065D27">
        <w:rPr>
          <w:rFonts w:ascii="Calibri" w:hAnsi="Calibri" w:cs="Calibri"/>
          <w:sz w:val="21"/>
        </w:rPr>
        <w:t>(Bordes, 1980)</w:t>
      </w:r>
      <w:r>
        <w:fldChar w:fldCharType="end"/>
      </w:r>
      <w:r>
        <w:t xml:space="preserve">. </w:t>
      </w:r>
    </w:p>
    <w:p w14:paraId="6CA20640" w14:textId="77777777" w:rsidR="00FB55E7" w:rsidRDefault="00FB55E7" w:rsidP="00FB55E7">
      <w:pPr>
        <w:pStyle w:val="Paragraph"/>
        <w:ind w:firstLine="0"/>
      </w:pPr>
    </w:p>
    <w:p w14:paraId="0E39C5D9" w14:textId="77777777" w:rsidR="00046E74" w:rsidRDefault="00046E74" w:rsidP="00FB55E7">
      <w:pPr>
        <w:pStyle w:val="Paragraph"/>
        <w:ind w:firstLine="0"/>
      </w:pPr>
    </w:p>
    <w:p w14:paraId="2834D2B3" w14:textId="77777777" w:rsidR="00046E74" w:rsidRDefault="00046E74" w:rsidP="00FB55E7">
      <w:pPr>
        <w:pStyle w:val="Paragraph"/>
        <w:ind w:firstLine="0"/>
      </w:pPr>
      <w:r>
        <w:rPr>
          <w:noProof/>
        </w:rPr>
        <w:drawing>
          <wp:inline distT="0" distB="0" distL="0" distR="0" wp14:anchorId="2A3BF82D" wp14:editId="131B5766">
            <wp:extent cx="5943600" cy="3200400"/>
            <wp:effectExtent l="0" t="0" r="0" b="0"/>
            <wp:docPr id="2031986928" name="Picture 1" descr="A diagram of a human fo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86928" name="Picture 1" descr="A diagram of a human foo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FB55E7">
        <w:t>Figure 7. Figure 5 description of bladelet core preparation at ‘Ein Qashish with distal preparation at step 4.</w:t>
      </w:r>
      <w:r w:rsidR="00FB55E7">
        <w:fldChar w:fldCharType="begin"/>
      </w:r>
      <w:r w:rsidR="00FB55E7">
        <w:instrText xml:space="preserve"> ADDIN ZOTERO_ITEM CSL_CITATION {"citationID":"iLduwA22","properties":{"formattedCitation":"(Malinsky-Buller et al., 2014)","plainCitation":"(Malinsky-Buller et al., 2014)","noteIndex":0},"citationItems":[{"id":2844,"uris":["http://zotero.org/users/2575107/items/VDNTXWZ8"],"uri":["http://zotero.org/users/2575107/items/VDNTXWZ8"],"itemData":{"id":2844,"type":"article-journal","abstract":"Ein Qashish (EQ) is a late Middle Paleolithic (w60 ka) open-air site located in the Yizra’el Valley east of Mt. Carmel, at the geographic center between some of the major Middle Paleolithic cave sites in northern Israel. Three seasons of excavation at the site revealed a small faunal collection and a diverse lithic assemblage. In this paper we discuss the composition, reduction technology, and raw material curation strategies represented in the assemblage. The assemblage is ﬂake-dominated, with low frequencies of retouched artifacts and of cores. Several reduction sequences were identiﬁed. Products of Levallois methods appear in low frequencies. The modiﬁed artifacts include lightly retouched ﬂakes and blades, side-scrapers, truncations and burins. The low frequencies of primary elements, core trimming elements, and cores suggest that only part of the reduction sequence took place on-site. Side-scrapers may have been imported into the locality. In contrast, short non-Levallois reduction sequences were applied on-site.","container-title":"Quaternary International","DOI":"10.1016/j.quaint.2013.05.004","ISSN":"10406182","journalAbbreviation":"Quaternary International","language":"en","page":"234-247","source":"DOI.org (Crossref)","title":"Organization of lithic technology at ‘Ein Qashish, a late Middle Paleolithic open-air site in Israel","volume":"331","author":[{"family":"Malinsky-Buller","given":"Ariel"},{"family":"Ekshtain","given":"Ravid"},{"family":"Hovers","given":"Erella"}],"issued":{"date-parts":[["2014",5]]}}}],"schema":"https://github.com/citation-style-language/schema/raw/master/csl-citation.json"} </w:instrText>
      </w:r>
      <w:r w:rsidR="00FB55E7">
        <w:fldChar w:fldCharType="separate"/>
      </w:r>
      <w:r w:rsidR="00FB55E7" w:rsidRPr="00E93D8F">
        <w:rPr>
          <w:rFonts w:ascii="Calibri" w:hAnsi="Calibri" w:cs="Calibri"/>
        </w:rPr>
        <w:t>(Malinsky-Buller et al., 2014)</w:t>
      </w:r>
      <w:r w:rsidR="00FB55E7">
        <w:fldChar w:fldCharType="end"/>
      </w:r>
    </w:p>
    <w:p w14:paraId="1ED6B8DE" w14:textId="472D196A" w:rsidR="00FB55E7" w:rsidRDefault="00046E74" w:rsidP="00FB55E7">
      <w:pPr>
        <w:pStyle w:val="Paragraph"/>
        <w:ind w:firstLine="0"/>
      </w:pPr>
      <w:r w:rsidRPr="00046E74">
        <w:rPr>
          <w:noProof/>
        </w:rPr>
        <w:lastRenderedPageBreak/>
        <w:t xml:space="preserve"> </w:t>
      </w:r>
      <w:r>
        <w:rPr>
          <w:noProof/>
        </w:rPr>
        <w:t xml:space="preserve"> </w:t>
      </w:r>
      <w:r>
        <w:rPr>
          <w:noProof/>
        </w:rPr>
        <w:drawing>
          <wp:inline distT="0" distB="0" distL="0" distR="0" wp14:anchorId="1C2CDBF4" wp14:editId="04E0B5B3">
            <wp:extent cx="4817745" cy="5681345"/>
            <wp:effectExtent l="0" t="0" r="1905" b="0"/>
            <wp:docPr id="1523827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7745" cy="5681345"/>
                    </a:xfrm>
                    <a:prstGeom prst="rect">
                      <a:avLst/>
                    </a:prstGeom>
                    <a:noFill/>
                    <a:ln>
                      <a:noFill/>
                    </a:ln>
                  </pic:spPr>
                </pic:pic>
              </a:graphicData>
            </a:graphic>
          </wp:inline>
        </w:drawing>
      </w:r>
    </w:p>
    <w:p w14:paraId="2E7EDA9E" w14:textId="77777777" w:rsidR="00FB55E7" w:rsidRDefault="00FB55E7" w:rsidP="00FB55E7">
      <w:pPr>
        <w:pStyle w:val="Paragraph"/>
        <w:ind w:firstLine="0"/>
      </w:pPr>
      <w:r>
        <w:t xml:space="preserve">Figure 8.  Figure 2. Schematic illustrating busqued burin production methods at La Ferrassie </w:t>
      </w:r>
      <w:r>
        <w:fldChar w:fldCharType="begin"/>
      </w:r>
      <w:r>
        <w:instrText xml:space="preserve"> ADDIN ZOTERO_ITEM CSL_CITATION {"citationID":"VGJz2okA","properties":{"formattedCitation":"(Chazan, 2001)","plainCitation":"(Chazan, 2001)","noteIndex":0},"citationItems":[{"id":2022,"uris":["http://zotero.org/users/2575107/items/JN3MXNEE"],"uri":["http://zotero.org/users/2575107/items/JN3MXNEE"],"itemData":{"id":2022,"type":"article-journal","abstract":"This paper presents a technological analysis of bladelet production at the Aurignacian site of La Ferrassie, France. It is argued that busqued burins, Vachons burins, and muzzled endscrapers were the cores off of which bladelets were produced. The typological variability is the result of the adapta tion of the same method of bladelet production to flakes of varying thickness. These results along with similar studies by Lucas of bladelet production at the site of La Flageolet demonstrate the importance of technological analysis for understanding the sources of lithic variability found in the early Upper Paleolithic.","container-title":"Lithic Technology","DOI":"10.1080/01977261.2001.11720973","ISSN":"0197-7261, 2051-6185","issue":"1","journalAbbreviation":"Lithic Technology","language":"en","page":"16-28","source":"DOI.org (Crossref)","title":"Bladelet Production in the Aurignacian of La Ferrassie (Dordogne, France)","volume":"26","author":[{"family":"Chazan","given":"Michael"}],"issued":{"date-parts":[["2001",3]]}}}],"schema":"https://github.com/citation-style-language/schema/raw/master/csl-citation.json"} </w:instrText>
      </w:r>
      <w:r>
        <w:fldChar w:fldCharType="separate"/>
      </w:r>
      <w:r w:rsidRPr="00C636B0">
        <w:rPr>
          <w:rFonts w:ascii="Calibri" w:hAnsi="Calibri" w:cs="Calibri"/>
        </w:rPr>
        <w:t>(Chazan, 2001)</w:t>
      </w:r>
      <w:r>
        <w:fldChar w:fldCharType="end"/>
      </w:r>
      <w:r>
        <w:t>.</w:t>
      </w:r>
    </w:p>
    <w:p w14:paraId="153612CA" w14:textId="77777777" w:rsidR="00046E74" w:rsidRDefault="00046E74" w:rsidP="00FB55E7">
      <w:pPr>
        <w:pStyle w:val="Paragraph"/>
        <w:ind w:firstLine="0"/>
        <w:rPr>
          <w:lang w:eastAsia="zh-CN" w:bidi="hi-IN"/>
        </w:rPr>
      </w:pPr>
    </w:p>
    <w:p w14:paraId="59C64CB7" w14:textId="050BB825" w:rsidR="00046E74" w:rsidRDefault="00190296" w:rsidP="00FB55E7">
      <w:pPr>
        <w:pStyle w:val="Paragraph"/>
        <w:ind w:firstLine="0"/>
        <w:rPr>
          <w:lang w:eastAsia="zh-CN" w:bidi="hi-IN"/>
        </w:rPr>
      </w:pPr>
      <w:r>
        <w:rPr>
          <w:noProof/>
          <w:lang w:eastAsia="zh-CN" w:bidi="hi-IN"/>
        </w:rPr>
        <w:lastRenderedPageBreak/>
        <w:drawing>
          <wp:inline distT="0" distB="0" distL="0" distR="0" wp14:anchorId="0FEB0CE0" wp14:editId="5ACCFCD1">
            <wp:extent cx="5757545" cy="5892800"/>
            <wp:effectExtent l="0" t="0" r="0" b="0"/>
            <wp:docPr id="954322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5892800"/>
                    </a:xfrm>
                    <a:prstGeom prst="rect">
                      <a:avLst/>
                    </a:prstGeom>
                    <a:noFill/>
                    <a:ln>
                      <a:noFill/>
                    </a:ln>
                  </pic:spPr>
                </pic:pic>
              </a:graphicData>
            </a:graphic>
          </wp:inline>
        </w:drawing>
      </w:r>
    </w:p>
    <w:p w14:paraId="5A9D2C00" w14:textId="77777777" w:rsidR="00046E74" w:rsidRDefault="00046E74" w:rsidP="00FB55E7">
      <w:pPr>
        <w:pStyle w:val="Paragraph"/>
        <w:ind w:firstLine="0"/>
        <w:rPr>
          <w:lang w:eastAsia="zh-CN" w:bidi="hi-IN"/>
        </w:rPr>
      </w:pPr>
    </w:p>
    <w:p w14:paraId="53959B31" w14:textId="0D83D2AE" w:rsidR="00FB55E7" w:rsidRDefault="00FB55E7" w:rsidP="00FB55E7">
      <w:pPr>
        <w:pStyle w:val="Paragraph"/>
        <w:ind w:firstLine="0"/>
      </w:pPr>
      <w:r>
        <w:rPr>
          <w:lang w:eastAsia="zh-CN" w:bidi="hi-IN"/>
        </w:rPr>
        <w:t xml:space="preserve">Figure 9. </w:t>
      </w:r>
      <w:r>
        <w:t>Figure 2. Microblade core variability at Amakomanak.</w:t>
      </w:r>
      <w:r>
        <w:fldChar w:fldCharType="begin"/>
      </w:r>
      <w:r>
        <w:instrText xml:space="preserve"> ADDIN ZOTERO_ITEM CSL_CITATION {"citationID":"mRGnoARm","properties":{"formattedCitation":"(Coutouly, 2017)","plainCitation":"(Coutouly, 2017)","noteIndex":0},"citationItems":[{"id":1849,"uris":["http://zotero.org/users/2575107/items/6Z5B6VIG"],"uri":["http://zotero.org/users/2575107/items/6Z5B6VIG"],"itemData":{"id":1849,"type":"article-journal","abstract":"The Amakomanak site (AMR-00095), dated around 7500 BC, is located in the Noatak National Preserve in northwestern Alaska and presents an important microblade component (microblade cores, core tablets, and microblades) made of local chert. During the late Pleistocene and the early Holocene, microblade technology is widespread in central Alaska, dominated by Campus-s­ tyle microblade cores (wedge-shaped microblade cores). The Amakomanak assemblage is primarily composed of larger prismatic microblade cores, similar to assemblages from other northwestern Alaskan sites compared here. This paper argues that raw material available in each area may have played a major role in the different microblade core variants described. Indeed, raw material availability in the northwestern region could be one of the major reasons behind the production of larger prismatic cores, as opposed to central Alaska Campus-­style cores usually made on smaller river cobbles. The paper also presents the results of a morphometric analysis of microblade cores and microblades from the Amakomanak site, comparing the data to both experimentally derived data sets on microblade-­flaking modes, as well as other microblade assemblages in Alaska and Siberia.","container-title":"Arctic Anthropology","DOI":"10.3368/aa.54.2.111","ISSN":"0066-6939, 1933-8139","issue":"2","journalAbbreviation":"Arctic Anthro.","language":"en","page":"111-135","source":"DOI.org (Crossref)","title":"Amakomanak: An Early Holocene Microblade Site in Northwestern Alaska","title-short":"Amakomanak","volume":"54","author":[{"family":"Coutouly","given":"Yan Axel Gómez"}],"issued":{"date-parts":[["2017",2]]}}}],"schema":"https://github.com/citation-style-language/schema/raw/master/csl-citation.json"} </w:instrText>
      </w:r>
      <w:r>
        <w:fldChar w:fldCharType="separate"/>
      </w:r>
      <w:r w:rsidRPr="00C636B0">
        <w:rPr>
          <w:rFonts w:ascii="Calibri" w:hAnsi="Calibri" w:cs="Calibri"/>
        </w:rPr>
        <w:t>(Coutouly, 2017)</w:t>
      </w:r>
      <w:r>
        <w:fldChar w:fldCharType="end"/>
      </w:r>
    </w:p>
    <w:p w14:paraId="094F9B39" w14:textId="77777777" w:rsidR="00190296" w:rsidRDefault="00190296" w:rsidP="00FB55E7">
      <w:pPr>
        <w:pStyle w:val="Paragraph"/>
        <w:ind w:firstLine="0"/>
      </w:pPr>
    </w:p>
    <w:p w14:paraId="5179668F" w14:textId="1CEFC1E4" w:rsidR="00190296" w:rsidRDefault="008709AA" w:rsidP="00FB55E7">
      <w:pPr>
        <w:pStyle w:val="Paragraph"/>
        <w:ind w:firstLine="0"/>
      </w:pPr>
      <w:r>
        <w:rPr>
          <w:noProof/>
        </w:rPr>
        <w:lastRenderedPageBreak/>
        <w:drawing>
          <wp:inline distT="0" distB="0" distL="0" distR="0" wp14:anchorId="475D61D2" wp14:editId="693121EF">
            <wp:extent cx="5859145" cy="6350000"/>
            <wp:effectExtent l="0" t="0" r="8255" b="0"/>
            <wp:docPr id="902835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9145" cy="6350000"/>
                    </a:xfrm>
                    <a:prstGeom prst="rect">
                      <a:avLst/>
                    </a:prstGeom>
                    <a:noFill/>
                    <a:ln>
                      <a:noFill/>
                    </a:ln>
                  </pic:spPr>
                </pic:pic>
              </a:graphicData>
            </a:graphic>
          </wp:inline>
        </w:drawing>
      </w:r>
    </w:p>
    <w:p w14:paraId="3F82FB29" w14:textId="77777777" w:rsidR="00190296" w:rsidRDefault="00190296" w:rsidP="00FB55E7">
      <w:pPr>
        <w:pStyle w:val="Paragraph"/>
        <w:ind w:firstLine="0"/>
      </w:pPr>
    </w:p>
    <w:p w14:paraId="2D6F7EB1" w14:textId="77777777" w:rsidR="00FB55E7" w:rsidRDefault="00FB55E7" w:rsidP="00FB55E7">
      <w:pPr>
        <w:pStyle w:val="Paragraph"/>
        <w:ind w:firstLine="0"/>
      </w:pPr>
      <w:r>
        <w:rPr>
          <w:lang w:eastAsia="zh-CN" w:bidi="hi-IN"/>
        </w:rPr>
        <w:t>Figure 10.</w:t>
      </w:r>
      <w:r w:rsidRPr="00C636B0">
        <w:t xml:space="preserve"> </w:t>
      </w:r>
      <w:r>
        <w:t xml:space="preserve">Initial blade subtypes from Kfar HaHoresh </w:t>
      </w:r>
      <w:r>
        <w:fldChar w:fldCharType="begin"/>
      </w:r>
      <w:r>
        <w:instrText xml:space="preserve"> ADDIN ZOTERO_ITEM CSL_CITATION {"citationID":"47SPyZ98","properties":{"formattedCitation":"(Barzilai &amp; Goring-Morris, 2010)","plainCitation":"(Barzilai &amp; Goring-Morris, 2010)","noteIndex":0},"citationItems":[{"id":2632,"uris":["http://zotero.org/users/2575107/items/VD53SX3W"],"uri":["http://zotero.org/users/2575107/items/VD53SX3W"],"itemData":{"id":2632,"type":"article-journal","abstract":"This paper presents the detailed analysis of a bidirectional blade workshop dump from a pit (Locus 1007) dating to relatively late within the Pre-Pottery Neolithic B (PPNB) occupation of Kfar HaHoresh in Northern Israel. The contents of the pit minimally derive from 117 reduction sequences and quite probably at least twice that number. The dump includes waste products from all stages of knapping. The assemblage is described in detail, with an emphasis on the diagnostic debitage types produced by each knapping stage, and hence reﬂects the local blade-knapping tradition. The results contribute to understanding the character of the local bidirectional operational sequence at Kfar HaHoresh. This included the import of high quality ﬂint nodules from speciﬁc outcrops elsewhere in the lower Galilee. In many cases the nodules were subjected to meticulous core pre-formation followed by serial blade production, core maintenance and core abandonment. Following the end of intensive knapping the waste products were carefully collected and dumped in the pit at the edge of the site, while the designated products (blades and tools) were locally distributed or cached for various reasons. The recognized lithic organization, together with the high quality of the blades and tools elsewhere on-site, is indicative of a specialized Middle/Late PPNB lithic workshop. The pattern recognized at Kfar HaHoresh, supplemented by recent discoveries of ﬂint outcrops and nearby PPNB workshop sites at HaSollelim and Givat Rabi East, together with the evidence for a regional blade production center at the village of Yiftahel, demonstrates the importance of this technology within the lower Galilee PPNB.","container-title":"Paléorient","DOI":"10.3406/paleo.2010.5386","ISSN":"0153-9345","issue":"2","journalAbbreviation":"paleo","language":"en","page":"5-34","source":"DOI.org (Crossref)","title":"Bidirectional Blade Production at the PPNB Site of Kfar HaHoresh: The Techno-Typological Analysis of a Workshop Dump","title-short":"Bidirectional Blade Production at the PPNB Site of Kfar HaHoresh","volume":"36","author":[{"family":"Barzilai","given":"Omry"},{"family":"Goring-Morris","given":"A. Nigel"}],"issued":{"date-parts":[["2010"]]}}}],"schema":"https://github.com/citation-style-language/schema/raw/master/csl-citation.json"} </w:instrText>
      </w:r>
      <w:r>
        <w:fldChar w:fldCharType="separate"/>
      </w:r>
      <w:r w:rsidRPr="00C636B0">
        <w:rPr>
          <w:rFonts w:ascii="Calibri" w:hAnsi="Calibri" w:cs="Calibri"/>
          <w:sz w:val="21"/>
        </w:rPr>
        <w:t>(Barzilai &amp; Goring-Morris, 2010)</w:t>
      </w:r>
      <w:r>
        <w:fldChar w:fldCharType="end"/>
      </w:r>
      <w:r>
        <w:t xml:space="preserve">. </w:t>
      </w:r>
    </w:p>
    <w:p w14:paraId="295C289D" w14:textId="77777777" w:rsidR="00FB55E7" w:rsidRDefault="00FB55E7" w:rsidP="00FB55E7"/>
    <w:p w14:paraId="4F8EE07B" w14:textId="77777777" w:rsidR="00FB55E7" w:rsidRDefault="00FB55E7" w:rsidP="00FB55E7">
      <w:r>
        <w:rPr>
          <w:noProof/>
        </w:rPr>
        <w:lastRenderedPageBreak/>
        <w:drawing>
          <wp:inline distT="0" distB="0" distL="0" distR="0" wp14:anchorId="04AE671F" wp14:editId="31B6C5D6">
            <wp:extent cx="5537835" cy="4946187"/>
            <wp:effectExtent l="0" t="0" r="0" b="6985"/>
            <wp:docPr id="1" name="Picture 1" descr="../../../../Desktop/Falcucci%20and%20Peresani%202018.%20Fig.%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Falcucci%20and%20Peresani%202018.%20Fig.%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5979" cy="4962393"/>
                    </a:xfrm>
                    <a:prstGeom prst="rect">
                      <a:avLst/>
                    </a:prstGeom>
                    <a:noFill/>
                    <a:ln>
                      <a:noFill/>
                    </a:ln>
                  </pic:spPr>
                </pic:pic>
              </a:graphicData>
            </a:graphic>
          </wp:inline>
        </w:drawing>
      </w:r>
    </w:p>
    <w:p w14:paraId="3746B988" w14:textId="77777777" w:rsidR="00FB55E7" w:rsidRDefault="00FB55E7" w:rsidP="00FB55E7">
      <w:pPr>
        <w:pStyle w:val="Paragraph"/>
        <w:ind w:firstLine="0"/>
      </w:pPr>
      <w:r>
        <w:t xml:space="preserve">Figure 11. Figure 4 in description of blade cores from Fumane cave </w:t>
      </w:r>
      <w:r>
        <w:fldChar w:fldCharType="begin"/>
      </w:r>
      <w:r>
        <w:instrText xml:space="preserve"> ADDIN ZOTERO_ITEM CSL_CITATION {"citationID":"QXSCfuO9","properties":{"formattedCitation":"(Falcucci &amp; Peresani, 2018)","plainCitation":"(Falcucci &amp; Peresani, 2018)","noteIndex":0},"citationItems":[{"id":2092,"uris":["http://zotero.org/users/2575107/items/GPBQW636"],"uri":["http://zotero.org/users/2575107/items/GPBQW636"],"itemData":{"id":2092,"type":"article-journal","abstract":"The Protoaurignacian is one of the European techno-complexes that marks the beginning of the Upper Paleolithic. During this time bladelet implements, frequently intended to be hafted in composite tools, become the primary goal of lithic production. The growing number of technological investigations carried out on several assemblages has revealed that, in most cases, bladelets are not the result of the reduction of blade cores. However, the detailed procedures involved in the production of blades and bladelets have rarely been reconstructed. Here we report on diacritic investigations of early stage and exhausted cores from the Protoaurignacian layers of Fumane Cave in northeastern Italy. We show that core reduction is influenced by two distinct operational concepts that relate to the manufacture of different predetermined products. The first is characterized by a linear and consecutive knapping progression that aims to obtain blades and, to a minor extent, bladelets with sub-parallel edges. The second is characterized instead by an alternated knapping progression that is exclusively used to produce slender bladelets with a convergent shape. We also show that carinated cores do not significantly differ, technologically, from semi-circumferential bladelet cores. We conclude by suggesting that there existed strong technological traditions shared between hunter–gatherers across the geographical extent of the Protoaurignacian.","container-title":"Lithic Technology","DOI":"10.1080/01977261.2018.1439681","ISSN":"0197-7261, 2051-6185","issue":"2","journalAbbreviation":"Lithic Technology","language":"en","page":"125-140","source":"DOI.org (Crossref)","title":"Protoaurignacian Core Reduction Procedures: Blade and Bladelet Technologies at Fumane Cave","title-short":"Protoaurignacian Core Reduction Procedures","volume":"43","author":[{"family":"Falcucci","given":"Armando"},{"family":"Peresani","given":"Marco"}],"issued":{"date-parts":[["2018",4,3]]}}}],"schema":"https://github.com/citation-style-language/schema/raw/master/csl-citation.json"} </w:instrText>
      </w:r>
      <w:r>
        <w:fldChar w:fldCharType="separate"/>
      </w:r>
      <w:r w:rsidRPr="001802B7">
        <w:rPr>
          <w:rFonts w:ascii="Calibri" w:hAnsi="Calibri" w:cs="Calibri"/>
          <w:sz w:val="21"/>
        </w:rPr>
        <w:t>(Falcucci &amp; Peresani, 2018)</w:t>
      </w:r>
      <w:r>
        <w:fldChar w:fldCharType="end"/>
      </w:r>
      <w:r>
        <w:t>.</w:t>
      </w:r>
    </w:p>
    <w:p w14:paraId="2F4870FF" w14:textId="77777777" w:rsidR="00FB55E7" w:rsidRDefault="00FB55E7" w:rsidP="00FB55E7">
      <w:r>
        <w:rPr>
          <w:noProof/>
        </w:rPr>
        <w:drawing>
          <wp:inline distT="0" distB="0" distL="0" distR="0" wp14:anchorId="4BD077B6" wp14:editId="178D5A36">
            <wp:extent cx="5939155" cy="2679700"/>
            <wp:effectExtent l="0" t="0" r="4445" b="12700"/>
            <wp:docPr id="27" name="Picture 27" descr="../../../../Desktop/Goring-Morris%20and%20Barzilai%202010.%20Bidirectional%20blade%20production%20at%20p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Goring-Morris%20and%20Barzilai%202010.%20Bidirectional%20blade%20production%20at%20p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679700"/>
                    </a:xfrm>
                    <a:prstGeom prst="rect">
                      <a:avLst/>
                    </a:prstGeom>
                    <a:noFill/>
                    <a:ln>
                      <a:noFill/>
                    </a:ln>
                  </pic:spPr>
                </pic:pic>
              </a:graphicData>
            </a:graphic>
          </wp:inline>
        </w:drawing>
      </w:r>
    </w:p>
    <w:p w14:paraId="0923B145" w14:textId="77777777" w:rsidR="00FB55E7" w:rsidRDefault="00FB55E7" w:rsidP="00FB55E7">
      <w:pPr>
        <w:pStyle w:val="Paragraph"/>
        <w:ind w:firstLine="0"/>
      </w:pPr>
      <w:r>
        <w:lastRenderedPageBreak/>
        <w:t xml:space="preserve">Figure 12. Figure 14 illustrating platform spalls from bidirectional blade cores recovered from Kfar HaHoresh </w:t>
      </w:r>
      <w:r>
        <w:fldChar w:fldCharType="begin"/>
      </w:r>
      <w:r>
        <w:instrText xml:space="preserve"> ADDIN ZOTERO_ITEM CSL_CITATION {"citationID":"vlvUSVqw","properties":{"formattedCitation":"(Barzilai &amp; Goring-Morris, 2010)","plainCitation":"(Barzilai &amp; Goring-Morris, 2010)","noteIndex":0},"citationItems":[{"id":2632,"uris":["http://zotero.org/users/2575107/items/VD53SX3W"],"uri":["http://zotero.org/users/2575107/items/VD53SX3W"],"itemData":{"id":2632,"type":"article-journal","abstract":"This paper presents the detailed analysis of a bidirectional blade workshop dump from a pit (Locus 1007) dating to relatively late within the Pre-Pottery Neolithic B (PPNB) occupation of Kfar HaHoresh in Northern Israel. The contents of the pit minimally derive from 117 reduction sequences and quite probably at least twice that number. The dump includes waste products from all stages of knapping. The assemblage is described in detail, with an emphasis on the diagnostic debitage types produced by each knapping stage, and hence reﬂects the local blade-knapping tradition. The results contribute to understanding the character of the local bidirectional operational sequence at Kfar HaHoresh. This included the import of high quality ﬂint nodules from speciﬁc outcrops elsewhere in the lower Galilee. In many cases the nodules were subjected to meticulous core pre-formation followed by serial blade production, core maintenance and core abandonment. Following the end of intensive knapping the waste products were carefully collected and dumped in the pit at the edge of the site, while the designated products (blades and tools) were locally distributed or cached for various reasons. The recognized lithic organization, together with the high quality of the blades and tools elsewhere on-site, is indicative of a specialized Middle/Late PPNB lithic workshop. The pattern recognized at Kfar HaHoresh, supplemented by recent discoveries of ﬂint outcrops and nearby PPNB workshop sites at HaSollelim and Givat Rabi East, together with the evidence for a regional blade production center at the village of Yiftahel, demonstrates the importance of this technology within the lower Galilee PPNB.","container-title":"Paléorient","DOI":"10.3406/paleo.2010.5386","ISSN":"0153-9345","issue":"2","journalAbbreviation":"paleo","language":"en","page":"5-34","source":"DOI.org (Crossref)","title":"Bidirectional Blade Production at the PPNB Site of Kfar HaHoresh: The Techno-Typological Analysis of a Workshop Dump","title-short":"Bidirectional Blade Production at the PPNB Site of Kfar HaHoresh","volume":"36","author":[{"family":"Barzilai","given":"Omry"},{"family":"Goring-Morris","given":"A. Nigel"}],"issued":{"date-parts":[["2010"]]}}}],"schema":"https://github.com/citation-style-language/schema/raw/master/csl-citation.json"} </w:instrText>
      </w:r>
      <w:r>
        <w:fldChar w:fldCharType="separate"/>
      </w:r>
      <w:r w:rsidRPr="001802B7">
        <w:rPr>
          <w:rFonts w:ascii="Calibri" w:hAnsi="Calibri" w:cs="Calibri"/>
          <w:sz w:val="21"/>
        </w:rPr>
        <w:t>(Barzilai &amp; Goring-Morris, 2010)</w:t>
      </w:r>
      <w:r>
        <w:fldChar w:fldCharType="end"/>
      </w:r>
    </w:p>
    <w:p w14:paraId="3954543F" w14:textId="77777777" w:rsidR="00FB55E7" w:rsidRDefault="00FB55E7" w:rsidP="00FB55E7">
      <w:pPr>
        <w:pStyle w:val="Paragraph"/>
        <w:ind w:firstLine="0"/>
        <w:rPr>
          <w:lang w:eastAsia="zh-CN" w:bidi="hi-IN"/>
        </w:rPr>
      </w:pPr>
      <w:r>
        <w:rPr>
          <w:noProof/>
          <w:lang w:eastAsia="zh-CN" w:bidi="hi-IN"/>
        </w:rPr>
        <w:drawing>
          <wp:inline distT="0" distB="0" distL="0" distR="0" wp14:anchorId="24CA7BF9" wp14:editId="0702B556">
            <wp:extent cx="4046220" cy="264560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27966"/>
                    <a:stretch/>
                  </pic:blipFill>
                  <pic:spPr bwMode="auto">
                    <a:xfrm>
                      <a:off x="0" y="0"/>
                      <a:ext cx="4054790" cy="2651208"/>
                    </a:xfrm>
                    <a:prstGeom prst="rect">
                      <a:avLst/>
                    </a:prstGeom>
                    <a:noFill/>
                    <a:ln>
                      <a:noFill/>
                    </a:ln>
                    <a:extLst>
                      <a:ext uri="{53640926-AAD7-44D8-BBD7-CCE9431645EC}">
                        <a14:shadowObscured xmlns:a14="http://schemas.microsoft.com/office/drawing/2010/main"/>
                      </a:ext>
                    </a:extLst>
                  </pic:spPr>
                </pic:pic>
              </a:graphicData>
            </a:graphic>
          </wp:inline>
        </w:drawing>
      </w:r>
    </w:p>
    <w:p w14:paraId="7330C6DB" w14:textId="77777777" w:rsidR="00FB55E7" w:rsidRPr="002916BE" w:rsidRDefault="00FB55E7" w:rsidP="00FB55E7">
      <w:pPr>
        <w:pStyle w:val="Paragraph"/>
        <w:ind w:firstLine="0"/>
      </w:pPr>
      <w:r w:rsidRPr="002916BE">
        <w:t>Figure</w:t>
      </w:r>
      <w:r>
        <w:t xml:space="preserve"> 13.</w:t>
      </w:r>
      <w:r w:rsidRPr="002916BE">
        <w:t xml:space="preserve"> Figure 2 illustrating hammer dressing on stemmed obsidian tool from Biak Island, West Papua </w:t>
      </w:r>
      <w:r w:rsidRPr="002916BE">
        <w:fldChar w:fldCharType="begin"/>
      </w:r>
      <w:r w:rsidRPr="002916BE">
        <w:instrText xml:space="preserve"> ADDIN ZOTERO_ITEM CSL_CITATION {"citationID":"aHhTdFeq","properties":{"formattedCitation":"(Robin Torrence et al., 2009)","plainCitation":"(Robin Torrence et al., 2009)","noteIndex":0},"citationItems":[{"id":3955,"uris":["http://zotero.org/users/2575107/items/SJTQLJHT"],"uri":["http://zotero.org/users/2575107/items/SJTQLJHT"],"itemData":{"id":3955,"type":"article-journal","container-title":"Asian Perspectives","DOI":"10.1353/asi.0.0014","ISSN":"1535-8283","issue":"1","journalAbbreviation":"Asian Perspectives","language":"en","page":"119-148","source":"DOI.org (Crossref)","title":"Mid-Holocene Social Interaction in Melanesia: New Evidence from Hammer-Dressed Obsidian Stemmed Tools","title-short":"Mid-Holocene Social Interaction in Melanesia","volume":"48","author":[{"literal":"Robin Torrence"},{"literal":"Pamela Swadling"},{"literal":"Nina Kononenko"},{"literal":"Wallace Ambrose"},{"literal":"Pip Rath"},{"literal":"Michael D. Glascock"}],"issued":{"date-parts":[["2009"]]}}}],"schema":"https://github.com/citation-style-language/schema/raw/master/csl-citation.json"} </w:instrText>
      </w:r>
      <w:r w:rsidRPr="002916BE">
        <w:fldChar w:fldCharType="separate"/>
      </w:r>
      <w:r w:rsidRPr="002916BE">
        <w:t>(Robin Torrence et al., 2009)</w:t>
      </w:r>
      <w:r w:rsidRPr="002916BE">
        <w:fldChar w:fldCharType="end"/>
      </w:r>
      <w:r w:rsidRPr="002916BE">
        <w:t>.</w:t>
      </w:r>
    </w:p>
    <w:p w14:paraId="3149B4D3" w14:textId="77777777" w:rsidR="00FB55E7" w:rsidRDefault="00FB55E7" w:rsidP="00FB55E7">
      <w:pPr>
        <w:pStyle w:val="Paragraph"/>
        <w:ind w:firstLine="0"/>
      </w:pPr>
    </w:p>
    <w:p w14:paraId="73AAC077" w14:textId="77777777" w:rsidR="00FB55E7" w:rsidRPr="00E40125" w:rsidRDefault="00FB55E7" w:rsidP="00FB55E7">
      <w:pPr>
        <w:pStyle w:val="Paragraph"/>
        <w:rPr>
          <w:lang w:eastAsia="zh-CN" w:bidi="hi-IN"/>
        </w:rPr>
      </w:pPr>
    </w:p>
    <w:p w14:paraId="78A68FCF" w14:textId="77777777" w:rsidR="00FB55E7" w:rsidRDefault="00FB55E7" w:rsidP="00FB55E7"/>
    <w:p w14:paraId="28E7FEB2" w14:textId="77777777" w:rsidR="00FB55E7" w:rsidRDefault="00FB55E7" w:rsidP="00FB55E7">
      <w:r>
        <w:rPr>
          <w:noProof/>
        </w:rPr>
        <w:lastRenderedPageBreak/>
        <w:drawing>
          <wp:inline distT="0" distB="0" distL="0" distR="0" wp14:anchorId="0DF3485C" wp14:editId="492BBA07">
            <wp:extent cx="4305300" cy="5501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5300" cy="5501640"/>
                    </a:xfrm>
                    <a:prstGeom prst="rect">
                      <a:avLst/>
                    </a:prstGeom>
                    <a:noFill/>
                    <a:ln>
                      <a:noFill/>
                    </a:ln>
                  </pic:spPr>
                </pic:pic>
              </a:graphicData>
            </a:graphic>
          </wp:inline>
        </w:drawing>
      </w:r>
    </w:p>
    <w:p w14:paraId="6722CE4D" w14:textId="77777777" w:rsidR="00FB55E7" w:rsidRDefault="00FB55E7" w:rsidP="00FB55E7">
      <w:pPr>
        <w:pStyle w:val="Paragraph"/>
        <w:ind w:firstLine="0"/>
      </w:pPr>
      <w:r>
        <w:t xml:space="preserve">Figure 14. Figure 13 illustrating projectile points recovered from Motza </w:t>
      </w:r>
      <w:r>
        <w:fldChar w:fldCharType="begin"/>
      </w:r>
      <w:r>
        <w:instrText xml:space="preserve"> ADDIN ZOTERO_ITEM CSL_CITATION {"citationID":"lO3g8DnP","properties":{"formattedCitation":"(Khalaily et al., 2007)","plainCitation":"(Khalaily et al., 2007)","noteIndex":0},"citationItems":[{"id":4163,"uris":["http://zotero.org/users/2575107/items/YKJLFA82"],"uri":["http://zotero.org/users/2575107/items/YKJLFA82"],"itemData":{"id":4163,"type":"article-journal","container-title":"Paleorient","issue":"2","page":"5-37","title":"Excavations at Motza in the Judean Hills and the Early Pre-Pottery Neolithic B in the Southern Levant.pdf","volume":"33","author":[{"family":"Khalaily","given":"Hamoudi"},{"family":"Bar-Yosef","given":"Ofer"},{"family":"Boaretto","given":"Elizabetta"},{"family":"Bocquentin","given":"Fanny"},{"family":"Le Dosseur","given":"Gaelle"},{"family":"Erikh-Rose","given":"Anna"},{"family":"Goring-Morris","given":"A Nigel"},{"family":"Greenhut","given":"Zvi"},{"family":"Marder","given":"Ofer"},{"family":"Sapir-Hen","given":"Lidar"},{"family":"Yizhaq","given":"Mirav"}],"issued":{"date-parts":[["2007"]]}}}],"schema":"https://github.com/citation-style-language/schema/raw/master/csl-citation.json"} </w:instrText>
      </w:r>
      <w:r>
        <w:fldChar w:fldCharType="separate"/>
      </w:r>
      <w:r w:rsidRPr="002916BE">
        <w:rPr>
          <w:rFonts w:ascii="Calibri" w:hAnsi="Calibri" w:cs="Calibri"/>
          <w:sz w:val="21"/>
        </w:rPr>
        <w:t>(Khalaily et al., 2007)</w:t>
      </w:r>
      <w:r>
        <w:fldChar w:fldCharType="end"/>
      </w:r>
      <w:r>
        <w:t xml:space="preserve">. </w:t>
      </w:r>
    </w:p>
    <w:p w14:paraId="3D513F6F" w14:textId="77777777" w:rsidR="00FB55E7" w:rsidRDefault="00FB55E7" w:rsidP="00FB55E7">
      <w:pPr>
        <w:pStyle w:val="Paragraph"/>
        <w:ind w:firstLine="0"/>
        <w:rPr>
          <w:lang w:eastAsia="zh-CN" w:bidi="hi-IN"/>
        </w:rPr>
      </w:pPr>
      <w:r>
        <w:rPr>
          <w:noProof/>
          <w:lang w:eastAsia="zh-CN" w:bidi="hi-IN"/>
        </w:rPr>
        <w:lastRenderedPageBreak/>
        <w:drawing>
          <wp:inline distT="0" distB="0" distL="0" distR="0" wp14:anchorId="2D8C78C2" wp14:editId="010178A2">
            <wp:extent cx="3515932" cy="3520440"/>
            <wp:effectExtent l="0" t="0" r="889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0574" cy="3525088"/>
                    </a:xfrm>
                    <a:prstGeom prst="rect">
                      <a:avLst/>
                    </a:prstGeom>
                    <a:noFill/>
                    <a:ln>
                      <a:noFill/>
                    </a:ln>
                  </pic:spPr>
                </pic:pic>
              </a:graphicData>
            </a:graphic>
          </wp:inline>
        </w:drawing>
      </w:r>
    </w:p>
    <w:p w14:paraId="70FB4888" w14:textId="77777777" w:rsidR="00FB55E7" w:rsidRPr="00F73F95" w:rsidRDefault="00FB55E7" w:rsidP="00FB55E7">
      <w:pPr>
        <w:pStyle w:val="Paragraph"/>
        <w:ind w:firstLine="0"/>
        <w:rPr>
          <w:lang w:eastAsia="zh-CN" w:bidi="hi-IN"/>
        </w:rPr>
      </w:pPr>
      <w:r>
        <w:rPr>
          <w:lang w:eastAsia="zh-CN" w:bidi="hi-IN"/>
        </w:rPr>
        <w:t xml:space="preserve">Figure 15. Figure 8 illustrating some retouched tool tyles from Ayn Abu Nukhayla </w:t>
      </w:r>
      <w:r>
        <w:rPr>
          <w:lang w:eastAsia="zh-CN" w:bidi="hi-IN"/>
        </w:rPr>
        <w:fldChar w:fldCharType="begin"/>
      </w:r>
      <w:r>
        <w:rPr>
          <w:lang w:eastAsia="zh-CN" w:bidi="hi-IN"/>
        </w:rPr>
        <w:instrText xml:space="preserve"> ADDIN ZOTERO_ITEM CSL_CITATION {"citationID":"1NAA5jQU","properties":{"formattedCitation":"(Henry &amp; Mraz, 2020)","plainCitation":"(Henry &amp; Mraz, 2020)","noteIndex":0},"citationItems":[{"id":4006,"uris":["http://zotero.org/users/2575107/items/YELC989P"],"uri":["http://zotero.org/users/2575107/items/YELC989P"],"itemData":{"id":4006,"type":"article-journal","abstract":"A lithic sourcing study coupled with analyses of lithic reduction strategies and settlement- procurement patterns of Middle Paleolithic (Late Levantine Mousterian) and Early Neolithic (Late Middle PPNB) occupations revealed intertwined factors that shaped the diﬀerent lithic provisioning strategies of the prehistoric groups. The accessibility and morphometrics of lithic sources, the techniques guiding the reduction process, economizing measures conditioned by elements of Optimal Foraging Theory and the settlement-procurement patterns of the consuming groups were important factors modeling the diﬀerent lithic provisioning strategies. The interrelationship of these factors traces the complex process of lithic procurement and places it more fully within the context of human behavioral ecology.","container-title":"Journal of Archaeological Science: Reports","DOI":"10.1016/j.jasrep.2019.102089","ISSN":"2352409X","journalAbbreviation":"Journal of Archaeological Science: Reports","language":"en","page":"102089","source":"DOI.org (Crossref)","title":"Lithic economy and prehistoric human behavioral ecology viewed from southern Jordan","volume":"29","author":[{"family":"Henry","given":"Donald O."},{"family":"Mraz","given":"Veronica"}],"issued":{"date-parts":[["2020",2]]}}}],"schema":"https://github.com/citation-style-language/schema/raw/master/csl-citation.json"} </w:instrText>
      </w:r>
      <w:r>
        <w:rPr>
          <w:lang w:eastAsia="zh-CN" w:bidi="hi-IN"/>
        </w:rPr>
        <w:fldChar w:fldCharType="separate"/>
      </w:r>
      <w:r w:rsidRPr="002916BE">
        <w:rPr>
          <w:rFonts w:ascii="Calibri" w:hAnsi="Calibri" w:cs="Calibri"/>
        </w:rPr>
        <w:t>(Henry &amp; Mraz, 2020)</w:t>
      </w:r>
      <w:r>
        <w:rPr>
          <w:lang w:eastAsia="zh-CN" w:bidi="hi-IN"/>
        </w:rPr>
        <w:fldChar w:fldCharType="end"/>
      </w:r>
      <w:r>
        <w:rPr>
          <w:lang w:eastAsia="zh-CN" w:bidi="hi-IN"/>
        </w:rPr>
        <w:t>.</w:t>
      </w:r>
    </w:p>
    <w:p w14:paraId="731A86FC" w14:textId="77777777" w:rsidR="00FB55E7" w:rsidRDefault="00FB55E7" w:rsidP="00FB55E7">
      <w:pPr>
        <w:pStyle w:val="Paragraph"/>
        <w:ind w:firstLine="0"/>
      </w:pPr>
    </w:p>
    <w:p w14:paraId="5BB95BDE" w14:textId="77777777" w:rsidR="00FB55E7" w:rsidRDefault="00FB55E7" w:rsidP="00FB55E7">
      <w:pPr>
        <w:pStyle w:val="Paragraph"/>
        <w:rPr>
          <w:lang w:eastAsia="zh-CN" w:bidi="hi-IN"/>
        </w:rPr>
      </w:pPr>
      <w:r>
        <w:rPr>
          <w:noProof/>
        </w:rPr>
        <w:drawing>
          <wp:inline distT="0" distB="0" distL="0" distR="0" wp14:anchorId="307D7D46" wp14:editId="593BB687">
            <wp:extent cx="5939155" cy="3566795"/>
            <wp:effectExtent l="0" t="0" r="4445" b="0"/>
            <wp:docPr id="30" name="Picture 30" descr="../../../../Desktop/Smith%20et%20al.%202016%20bur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mith%20et%20al.%202016%20buri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3566795"/>
                    </a:xfrm>
                    <a:prstGeom prst="rect">
                      <a:avLst/>
                    </a:prstGeom>
                    <a:noFill/>
                    <a:ln>
                      <a:noFill/>
                    </a:ln>
                  </pic:spPr>
                </pic:pic>
              </a:graphicData>
            </a:graphic>
          </wp:inline>
        </w:drawing>
      </w:r>
    </w:p>
    <w:p w14:paraId="71064A42" w14:textId="77777777" w:rsidR="00FB55E7" w:rsidRDefault="00FB55E7" w:rsidP="00FB55E7">
      <w:pPr>
        <w:pStyle w:val="Paragraph"/>
        <w:ind w:firstLine="0"/>
        <w:rPr>
          <w:lang w:eastAsia="zh-CN" w:bidi="hi-IN"/>
        </w:rPr>
      </w:pPr>
      <w:r>
        <w:rPr>
          <w:lang w:eastAsia="zh-CN" w:bidi="hi-IN"/>
        </w:rPr>
        <w:t xml:space="preserve">Figure 16. Figure 5 illustrating burin variation at the PPNA site El Hemmeh </w:t>
      </w:r>
      <w:r>
        <w:rPr>
          <w:lang w:eastAsia="zh-CN" w:bidi="hi-IN"/>
        </w:rPr>
        <w:fldChar w:fldCharType="begin"/>
      </w:r>
      <w:r>
        <w:rPr>
          <w:lang w:eastAsia="zh-CN" w:bidi="hi-IN"/>
        </w:rPr>
        <w:instrText xml:space="preserve"> ADDIN ZOTERO_ITEM CSL_CITATION {"citationID":"IpRWftY9","properties":{"formattedCitation":"(Smith et al., 2016)","plainCitation":"(Smith et al., 2016)","noteIndex":0},"citationItems":[{"id":2660,"uris":["http://zotero.org/users/2575107/items/KDEBVYX9"],"uri":["http://zotero.org/users/2575107/items/KDEBVYX9"],"itemData":{"id":2660,"type":"article-journal","abstract":"We present the first analysis of a chipped stone assemblage recovered from the PPNA layers of el-Hemmeh, Southern Jordan. The sample (31,725 pieces) shows general affinities to PPNA material described elsewhere from the Southern Levant but also provides evidence for a distinctive suite of typological and technological traits. These include the presence of at least two reduction sequences, a lack of traditional PPNA point types, and an emphasis on the production of burins and tools manufactured on burin spalls. We suggest that this assemblage, together with those from other PPNA sites (WF16 and ZAD 2), provides evidence of indigenous cultural development during the Late PPNA in Southern Jordan.","container-title":"Paléorient","DOI":"10.3406/paleo.2016.5691","ISSN":"0153-9345","issue":"1","journalAbbreviation":"paleo","language":"en","page":"7-25","source":"DOI.org (Crossref)","title":"Further diversity in the Early Neolithic of the Southern Levant: A first look at the PPNA chipped stone tool assemblage from el-Hemmeh, Southern Jordan","title-short":"Further diversity in the Early Neolithic of the Southern Levant","volume":"42","author":[{"family":"Smith","given":"Sam"},{"family":"Paige","given":"Jonathan"},{"family":"Makarewicz","given":"Cheryl A."}],"issued":{"date-parts":[["2016"]]}}}],"schema":"https://github.com/citation-style-language/schema/raw/master/csl-citation.json"} </w:instrText>
      </w:r>
      <w:r>
        <w:rPr>
          <w:lang w:eastAsia="zh-CN" w:bidi="hi-IN"/>
        </w:rPr>
        <w:fldChar w:fldCharType="separate"/>
      </w:r>
      <w:r w:rsidRPr="001802B7">
        <w:rPr>
          <w:rFonts w:ascii="Calibri" w:hAnsi="Calibri" w:cs="Calibri"/>
        </w:rPr>
        <w:t>(Smith et al., 2016)</w:t>
      </w:r>
      <w:r>
        <w:rPr>
          <w:lang w:eastAsia="zh-CN" w:bidi="hi-IN"/>
        </w:rPr>
        <w:fldChar w:fldCharType="end"/>
      </w:r>
      <w:r>
        <w:rPr>
          <w:lang w:eastAsia="zh-CN" w:bidi="hi-IN"/>
        </w:rPr>
        <w:t xml:space="preserve">.  </w:t>
      </w:r>
    </w:p>
    <w:p w14:paraId="195BB46C" w14:textId="77777777" w:rsidR="00FB55E7" w:rsidRDefault="00FB55E7" w:rsidP="00FB55E7">
      <w:r>
        <w:rPr>
          <w:noProof/>
        </w:rPr>
        <w:lastRenderedPageBreak/>
        <w:drawing>
          <wp:inline distT="0" distB="0" distL="0" distR="0" wp14:anchorId="62D6450D" wp14:editId="5123EA60">
            <wp:extent cx="5142230" cy="8220710"/>
            <wp:effectExtent l="0" t="0" r="0" b="8890"/>
            <wp:docPr id="29" name="Picture 29" descr="../../../../Desktop/Screen%20Shot%202019-01-28%20at%204.37.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9-01-28%20at%204.37.34%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230" cy="8220710"/>
                    </a:xfrm>
                    <a:prstGeom prst="rect">
                      <a:avLst/>
                    </a:prstGeom>
                    <a:noFill/>
                    <a:ln>
                      <a:noFill/>
                    </a:ln>
                  </pic:spPr>
                </pic:pic>
              </a:graphicData>
            </a:graphic>
          </wp:inline>
        </w:drawing>
      </w:r>
    </w:p>
    <w:p w14:paraId="6E25632E" w14:textId="77777777" w:rsidR="00FB55E7" w:rsidRDefault="00FB55E7" w:rsidP="00FB55E7">
      <w:pPr>
        <w:pStyle w:val="Paragraph"/>
        <w:ind w:firstLine="0"/>
        <w:rPr>
          <w:rFonts w:eastAsia="Times New Roman"/>
        </w:rPr>
      </w:pPr>
      <w:r>
        <w:rPr>
          <w:rFonts w:eastAsia="Times New Roman"/>
        </w:rPr>
        <w:lastRenderedPageBreak/>
        <w:t xml:space="preserve">Figure 17. Figure 14 illustrating tranchet axe variability at Motza </w:t>
      </w:r>
      <w:r>
        <w:rPr>
          <w:rFonts w:eastAsia="Times New Roman"/>
        </w:rPr>
        <w:fldChar w:fldCharType="begin"/>
      </w:r>
      <w:r>
        <w:rPr>
          <w:rFonts w:eastAsia="Times New Roman"/>
        </w:rPr>
        <w:instrText xml:space="preserve"> ADDIN ZOTERO_ITEM CSL_CITATION {"citationID":"cw9bqeJ8","properties":{"formattedCitation":"(Khalaily et al., 2007)","plainCitation":"(Khalaily et al., 2007)","noteIndex":0},"citationItems":[{"id":4163,"uris":["http://zotero.org/users/2575107/items/YKJLFA82"],"uri":["http://zotero.org/users/2575107/items/YKJLFA82"],"itemData":{"id":4163,"type":"article-journal","container-title":"Paleorient","issue":"2","page":"5-37","title":"Excavations at Motza in the Judean Hills and the Early Pre-Pottery Neolithic B in the Southern Levant.pdf","volume":"33","author":[{"family":"Khalaily","given":"Hamoudi"},{"family":"Bar-Yosef","given":"Ofer"},{"family":"Boaretto","given":"Elizabetta"},{"family":"Bocquentin","given":"Fanny"},{"family":"Le Dosseur","given":"Gaelle"},{"family":"Erikh-Rose","given":"Anna"},{"family":"Goring-Morris","given":"A Nigel"},{"family":"Greenhut","given":"Zvi"},{"family":"Marder","given":"Ofer"},{"family":"Sapir-Hen","given":"Lidar"},{"family":"Yizhaq","given":"Mirav"}],"issued":{"date-parts":[["2007"]]}}}],"schema":"https://github.com/citation-style-language/schema/raw/master/csl-citation.json"} </w:instrText>
      </w:r>
      <w:r>
        <w:rPr>
          <w:rFonts w:eastAsia="Times New Roman"/>
        </w:rPr>
        <w:fldChar w:fldCharType="separate"/>
      </w:r>
      <w:r w:rsidRPr="002916BE">
        <w:t>(Khalaily et al., 2007)</w:t>
      </w:r>
      <w:r>
        <w:rPr>
          <w:rFonts w:eastAsia="Times New Roman"/>
        </w:rPr>
        <w:fldChar w:fldCharType="end"/>
      </w:r>
      <w:r>
        <w:rPr>
          <w:rFonts w:eastAsia="Times New Roman"/>
        </w:rPr>
        <w:t>.</w:t>
      </w:r>
    </w:p>
    <w:p w14:paraId="326123C5" w14:textId="77777777" w:rsidR="009F6C43" w:rsidRDefault="009F6C43"/>
    <w:sectPr w:rsidR="009F6C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5E7"/>
    <w:rsid w:val="0002061C"/>
    <w:rsid w:val="00046E74"/>
    <w:rsid w:val="00190296"/>
    <w:rsid w:val="00434186"/>
    <w:rsid w:val="00657063"/>
    <w:rsid w:val="008709AA"/>
    <w:rsid w:val="009F6C43"/>
    <w:rsid w:val="00D23BBA"/>
    <w:rsid w:val="00FB5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7473F1"/>
  <w15:chartTrackingRefBased/>
  <w15:docId w15:val="{9EE1990D-967C-4EA7-A9B5-95D0546D4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5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qFormat/>
    <w:rsid w:val="0002061C"/>
    <w:pPr>
      <w:ind w:firstLine="720"/>
    </w:pPr>
    <w:rPr>
      <w:rFonts w:eastAsiaTheme="minorEastAsia" w:cs="Segoe UI"/>
      <w:sz w:val="18"/>
      <w:szCs w:val="18"/>
    </w:rPr>
  </w:style>
  <w:style w:type="paragraph" w:customStyle="1" w:styleId="Title1">
    <w:name w:val="Title1"/>
    <w:basedOn w:val="BalloonText"/>
    <w:link w:val="TITLEChar"/>
    <w:qFormat/>
    <w:rsid w:val="0002061C"/>
    <w:pPr>
      <w:spacing w:after="160" w:line="276" w:lineRule="auto"/>
      <w:jc w:val="center"/>
    </w:pPr>
    <w:rPr>
      <w:b/>
      <w:sz w:val="24"/>
    </w:rPr>
  </w:style>
  <w:style w:type="character" w:customStyle="1" w:styleId="TITLEChar">
    <w:name w:val="TITLE Char"/>
    <w:basedOn w:val="BalloonTextChar"/>
    <w:link w:val="Title1"/>
    <w:rsid w:val="0002061C"/>
    <w:rPr>
      <w:rFonts w:ascii="Segoe UI" w:hAnsi="Segoe UI" w:cs="Segoe UI"/>
      <w:b/>
      <w:sz w:val="24"/>
      <w:szCs w:val="18"/>
    </w:rPr>
  </w:style>
  <w:style w:type="paragraph" w:styleId="BalloonText">
    <w:name w:val="Balloon Text"/>
    <w:basedOn w:val="Normal"/>
    <w:link w:val="BalloonTextChar"/>
    <w:uiPriority w:val="99"/>
    <w:semiHidden/>
    <w:unhideWhenUsed/>
    <w:rsid w:val="000206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061C"/>
    <w:rPr>
      <w:rFonts w:ascii="Segoe UI" w:hAnsi="Segoe UI" w:cs="Segoe UI"/>
      <w:sz w:val="18"/>
      <w:szCs w:val="18"/>
    </w:rPr>
  </w:style>
  <w:style w:type="paragraph" w:customStyle="1" w:styleId="FIGCaption">
    <w:name w:val="FIG Caption"/>
    <w:basedOn w:val="Paragraph"/>
    <w:link w:val="FIGCaptionChar"/>
    <w:autoRedefine/>
    <w:qFormat/>
    <w:rsid w:val="0002061C"/>
    <w:pPr>
      <w:spacing w:before="240" w:after="240" w:line="240" w:lineRule="auto"/>
      <w:ind w:firstLine="0"/>
    </w:pPr>
    <w:rPr>
      <w:rFonts w:eastAsiaTheme="minorHAnsi"/>
      <w:sz w:val="20"/>
    </w:rPr>
  </w:style>
  <w:style w:type="character" w:customStyle="1" w:styleId="FIGCaptionChar">
    <w:name w:val="FIG Caption Char"/>
    <w:basedOn w:val="DefaultParagraphFont"/>
    <w:link w:val="FIGCaption"/>
    <w:rsid w:val="0002061C"/>
    <w:rPr>
      <w:rFonts w:cs="Segoe UI"/>
      <w:sz w:val="20"/>
      <w:szCs w:val="18"/>
    </w:rPr>
  </w:style>
  <w:style w:type="paragraph" w:customStyle="1" w:styleId="HEAD2">
    <w:name w:val="HEAD 2"/>
    <w:basedOn w:val="HEAD"/>
    <w:next w:val="Paragraph"/>
    <w:link w:val="HEAD2Char"/>
    <w:qFormat/>
    <w:rsid w:val="0002061C"/>
    <w:pPr>
      <w:outlineLvl w:val="1"/>
    </w:pPr>
    <w:rPr>
      <w:b w:val="0"/>
      <w:i/>
    </w:rPr>
  </w:style>
  <w:style w:type="character" w:customStyle="1" w:styleId="HEAD2Char">
    <w:name w:val="HEAD 2 Char"/>
    <w:basedOn w:val="HEADChar"/>
    <w:link w:val="HEAD2"/>
    <w:rsid w:val="0002061C"/>
    <w:rPr>
      <w:rFonts w:ascii="Times New Roman" w:eastAsia="Microsoft YaHei" w:hAnsi="Times New Roman" w:cs="Mangal"/>
      <w:b w:val="0"/>
      <w:i/>
      <w:sz w:val="24"/>
      <w:szCs w:val="28"/>
      <w:lang w:eastAsia="zh-CN" w:bidi="hi-IN"/>
    </w:rPr>
  </w:style>
  <w:style w:type="paragraph" w:customStyle="1" w:styleId="FigureNumber">
    <w:name w:val="Figure Number"/>
    <w:next w:val="FIGCaption"/>
    <w:link w:val="FigureNumberChar"/>
    <w:autoRedefine/>
    <w:qFormat/>
    <w:rsid w:val="0002061C"/>
    <w:pPr>
      <w:outlineLvl w:val="0"/>
    </w:pPr>
    <w:rPr>
      <w:rFonts w:cs="Segoe UI"/>
      <w:sz w:val="20"/>
      <w:szCs w:val="18"/>
    </w:rPr>
  </w:style>
  <w:style w:type="character" w:customStyle="1" w:styleId="FigureNumberChar">
    <w:name w:val="Figure Number Char"/>
    <w:basedOn w:val="FIGCaptionChar"/>
    <w:link w:val="FigureNumber"/>
    <w:rsid w:val="0002061C"/>
    <w:rPr>
      <w:rFonts w:cs="Segoe UI"/>
      <w:sz w:val="20"/>
      <w:szCs w:val="18"/>
    </w:rPr>
  </w:style>
  <w:style w:type="paragraph" w:customStyle="1" w:styleId="HEAD">
    <w:name w:val="HEAD"/>
    <w:next w:val="Paragraph"/>
    <w:link w:val="HEADChar"/>
    <w:qFormat/>
    <w:rsid w:val="0002061C"/>
    <w:pPr>
      <w:outlineLvl w:val="0"/>
    </w:pPr>
    <w:rPr>
      <w:rFonts w:ascii="Times New Roman" w:eastAsia="Microsoft YaHei" w:hAnsi="Times New Roman" w:cs="Mangal"/>
      <w:b/>
      <w:sz w:val="24"/>
      <w:szCs w:val="28"/>
      <w:lang w:eastAsia="zh-CN" w:bidi="hi-IN"/>
    </w:rPr>
  </w:style>
  <w:style w:type="character" w:customStyle="1" w:styleId="HEADChar">
    <w:name w:val="HEAD Char"/>
    <w:basedOn w:val="DefaultParagraphFont"/>
    <w:link w:val="HEAD"/>
    <w:rsid w:val="0002061C"/>
    <w:rPr>
      <w:rFonts w:ascii="Times New Roman" w:eastAsia="Microsoft YaHei" w:hAnsi="Times New Roman" w:cs="Mangal"/>
      <w:b/>
      <w:sz w:val="24"/>
      <w:szCs w:val="28"/>
      <w:lang w:eastAsia="zh-CN" w:bidi="hi-IN"/>
    </w:rPr>
  </w:style>
  <w:style w:type="paragraph" w:customStyle="1" w:styleId="PARAGRAPH0">
    <w:name w:val="PARAGRAPH"/>
    <w:basedOn w:val="Normal"/>
    <w:autoRedefine/>
    <w:qFormat/>
    <w:rsid w:val="00D23BBA"/>
    <w:pPr>
      <w:spacing w:after="0" w:line="240" w:lineRule="auto"/>
      <w:ind w:firstLine="720"/>
    </w:pPr>
    <w:rPr>
      <w:rFonts w:ascii="Times New Roman" w:eastAsia="Times New Roman" w:hAnsi="Times New Roman" w:cs="Times New Roman"/>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14</Pages>
  <Words>4800</Words>
  <Characters>27796</Characters>
  <Application>Microsoft Office Word</Application>
  <DocSecurity>0</DocSecurity>
  <Lines>958</Lines>
  <Paragraphs>397</Paragraphs>
  <ScaleCrop>false</ScaleCrop>
  <Company/>
  <LinksUpToDate>false</LinksUpToDate>
  <CharactersWithSpaces>32199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Paige (Student)</dc:creator>
  <cp:keywords/>
  <dc:description/>
  <cp:lastModifiedBy>Paige, Jonathan</cp:lastModifiedBy>
  <cp:revision>5</cp:revision>
  <dcterms:created xsi:type="dcterms:W3CDTF">2020-09-21T22:53:00Z</dcterms:created>
  <dcterms:modified xsi:type="dcterms:W3CDTF">2024-03-26T21:54:00Z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c0ee0ce166ae7cc920f1aa88d0122b6862edf17e779c8c2ceca9631848d0567c</vt:lpwstr>
  </property>
</Properties>
</file>